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DCCF" w14:textId="19A20D04" w:rsidR="009E0FBE" w:rsidRPr="0063114D" w:rsidRDefault="0063114D" w:rsidP="00101AB6">
      <w:pPr>
        <w:jc w:val="center"/>
        <w:rPr>
          <w:b/>
        </w:rPr>
      </w:pPr>
      <w:r w:rsidRPr="0063114D">
        <w:rPr>
          <w:b/>
        </w:rPr>
        <w:t>OPIS PRZEDMIOTU ZAMÓWIENIA</w:t>
      </w:r>
    </w:p>
    <w:p w14:paraId="2E1DECBB" w14:textId="77777777" w:rsidR="003B555D" w:rsidRDefault="003B555D" w:rsidP="00101AB6">
      <w:pPr>
        <w:jc w:val="center"/>
        <w:rPr>
          <w:b/>
        </w:rPr>
      </w:pPr>
    </w:p>
    <w:p w14:paraId="28E8A99C" w14:textId="24216C46" w:rsidR="00280B03" w:rsidRPr="007512D4" w:rsidRDefault="00280B03" w:rsidP="00101AB6">
      <w:pPr>
        <w:jc w:val="center"/>
        <w:rPr>
          <w:b/>
        </w:rPr>
      </w:pPr>
      <w:r w:rsidRPr="007512D4">
        <w:rPr>
          <w:b/>
        </w:rPr>
        <w:t>WYMAGANIA TECHNICZNE DLA ŚREDNIEGO SAMOCHODU RATOWNICZO-GAŚNICZEGO Z NAPĘDEM 4x4</w:t>
      </w:r>
      <w:r w:rsidR="009E0FBE">
        <w:rPr>
          <w:b/>
        </w:rPr>
        <w:t xml:space="preserve"> </w:t>
      </w:r>
      <w:r w:rsidR="009E0FBE">
        <w:rPr>
          <w:b/>
        </w:rPr>
        <w:br/>
        <w:t>DLA OCHOTNI</w:t>
      </w:r>
      <w:r w:rsidR="003B555D">
        <w:rPr>
          <w:b/>
        </w:rPr>
        <w:t>CZEJ STRAŻY POŻARNEJ W RUDZIENKU</w:t>
      </w:r>
    </w:p>
    <w:p w14:paraId="5037EEB4" w14:textId="0CCD5466" w:rsidR="00280B03" w:rsidRPr="007512D4" w:rsidRDefault="00280B03" w:rsidP="00101AB6">
      <w:pPr>
        <w:jc w:val="both"/>
        <w:rPr>
          <w:b/>
        </w:rPr>
      </w:pP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rPr>
                <w:rFonts w:ascii="Times New Roman" w:eastAsia="Times New Roman" w:hAnsi="Times New Roman" w:cs="Times New Roman"/>
                <w:sz w:val="20"/>
                <w:szCs w:val="20"/>
                <w:lang w:eastAsia="ar-SA"/>
              </w:rPr>
              <w:t>późn</w:t>
            </w:r>
            <w:proofErr w:type="spellEnd"/>
            <w:r w:rsidRPr="007512D4">
              <w:rPr>
                <w:rFonts w:ascii="Times New Roman" w:eastAsia="Times New Roman" w:hAnsi="Times New Roman" w:cs="Times New Roman"/>
                <w:sz w:val="20"/>
                <w:szCs w:val="20"/>
                <w:lang w:eastAsia="ar-SA"/>
              </w:rPr>
              <w:t>.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t>1.3</w:t>
            </w:r>
          </w:p>
        </w:tc>
        <w:tc>
          <w:tcPr>
            <w:tcW w:w="7513"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xml:space="preserve">. zm.). Aktualne świadectwo dopuszczenia dostarczone najpóźniej na dzień odbioru techniczno-jakościowego. Sprzęt dostarczony z pojazdem, jeżeli jest dla </w:t>
            </w:r>
            <w:r w:rsidRPr="007512D4">
              <w:lastRenderedPageBreak/>
              <w:t xml:space="preserve">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zm.). Aktualne świadectwa dopuszczenia na sprzęt, dostarczone najpóźniej w dniu odbioru techniczno-jakościowego przedmiotu zamówienia.</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lastRenderedPageBreak/>
              <w:t>1.4</w:t>
            </w:r>
          </w:p>
        </w:tc>
        <w:tc>
          <w:tcPr>
            <w:tcW w:w="7513"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7B75225C" w:rsidR="000866B0" w:rsidRPr="00623737" w:rsidRDefault="004D6C13" w:rsidP="000866B0">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w:t>
            </w:r>
            <w:r>
              <w:t xml:space="preserve"> Dopuszcza się podwozie z roku 2019.</w:t>
            </w:r>
            <w:r w:rsidRPr="007512D4">
              <w:t xml:space="preserve">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CC7AEA">
              <w:t>Rezerwa masy między MMR a DMC min. 10%)</w:t>
            </w:r>
          </w:p>
        </w:tc>
        <w:tc>
          <w:tcPr>
            <w:tcW w:w="5635" w:type="dxa"/>
          </w:tcPr>
          <w:p w14:paraId="3658EC22" w14:textId="77777777"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33ED3324" w14:textId="426CBA90" w:rsidR="00920242" w:rsidRPr="00623737" w:rsidRDefault="00227874" w:rsidP="00CC7AEA">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CC7AEA">
              <w:rPr>
                <w:lang w:eastAsia="ar-SA"/>
              </w:rPr>
              <w:t>.</w:t>
            </w: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623737" w:rsidRDefault="00227874" w:rsidP="00227874">
            <w:pPr>
              <w:jc w:val="both"/>
            </w:pPr>
            <w:r w:rsidRPr="007512D4">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623737" w:rsidRDefault="00227874" w:rsidP="00227874">
            <w:pPr>
              <w:jc w:val="both"/>
            </w:pPr>
            <w:r w:rsidRPr="007512D4">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7513"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5635" w:type="dxa"/>
          </w:tcPr>
          <w:p w14:paraId="554F41D4" w14:textId="77777777" w:rsidR="00227874" w:rsidRPr="007512D4" w:rsidRDefault="00227874" w:rsidP="00227874">
            <w:pPr>
              <w:jc w:val="both"/>
              <w:rPr>
                <w:b/>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lastRenderedPageBreak/>
              <w:t>2</w:t>
            </w:r>
            <w:r w:rsidRPr="007512D4">
              <w:rPr>
                <w:bCs/>
              </w:rPr>
              <w:t>.8</w:t>
            </w:r>
          </w:p>
        </w:tc>
        <w:tc>
          <w:tcPr>
            <w:tcW w:w="7513"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227874" w:rsidRPr="007512D4" w14:paraId="5E809F87" w14:textId="77777777" w:rsidTr="007512D4">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7513" w:type="dxa"/>
          </w:tcPr>
          <w:p w14:paraId="4234BA7F" w14:textId="603DFFB3" w:rsidR="00227874" w:rsidRPr="001C468D" w:rsidRDefault="00227874" w:rsidP="00920242">
            <w:pPr>
              <w:pStyle w:val="Default"/>
              <w:jc w:val="both"/>
              <w:rPr>
                <w:rFonts w:eastAsia="Times New Roman"/>
                <w:color w:val="auto"/>
                <w:sz w:val="20"/>
                <w:szCs w:val="20"/>
                <w:lang w:eastAsia="ar-SA"/>
              </w:rPr>
            </w:pPr>
            <w:r w:rsidRPr="001C468D">
              <w:rPr>
                <w:rFonts w:eastAsia="Times New Roman"/>
                <w:color w:val="auto"/>
                <w:sz w:val="20"/>
                <w:szCs w:val="20"/>
                <w:lang w:eastAsia="ar-SA"/>
              </w:rPr>
              <w:t xml:space="preserve">Pomiędzy kabiną a zabudową pożarniczą zamontowana osłona </w:t>
            </w:r>
            <w:proofErr w:type="spellStart"/>
            <w:r w:rsidRPr="001C468D">
              <w:rPr>
                <w:rFonts w:eastAsia="Times New Roman"/>
                <w:color w:val="auto"/>
                <w:sz w:val="20"/>
                <w:szCs w:val="20"/>
                <w:lang w:eastAsia="ar-SA"/>
              </w:rPr>
              <w:t>ochronno</w:t>
            </w:r>
            <w:proofErr w:type="spellEnd"/>
            <w:r w:rsidRPr="001C468D">
              <w:rPr>
                <w:rFonts w:eastAsia="Times New Roman"/>
                <w:color w:val="auto"/>
                <w:sz w:val="20"/>
                <w:szCs w:val="20"/>
                <w:lang w:eastAsia="ar-SA"/>
              </w:rPr>
              <w:t xml:space="preserve"> – maskująca oraz owiewka dachowa kabiny załogi z </w:t>
            </w:r>
            <w:proofErr w:type="spellStart"/>
            <w:r w:rsidRPr="001C468D">
              <w:rPr>
                <w:rFonts w:eastAsia="Times New Roman"/>
                <w:color w:val="auto"/>
                <w:sz w:val="20"/>
                <w:szCs w:val="20"/>
                <w:lang w:eastAsia="ar-SA"/>
              </w:rPr>
              <w:t>ledowym</w:t>
            </w:r>
            <w:proofErr w:type="spellEnd"/>
            <w:r w:rsidRPr="001C468D">
              <w:rPr>
                <w:rFonts w:eastAsia="Times New Roman"/>
                <w:color w:val="auto"/>
                <w:sz w:val="20"/>
                <w:szCs w:val="20"/>
                <w:lang w:eastAsia="ar-SA"/>
              </w:rPr>
              <w:t xml:space="preserve"> oświetleniem pola pracy.</w:t>
            </w:r>
            <w:r w:rsidR="00920242" w:rsidRPr="001C468D">
              <w:rPr>
                <w:rFonts w:eastAsia="Times New Roman"/>
                <w:color w:val="auto"/>
                <w:sz w:val="20"/>
                <w:szCs w:val="20"/>
                <w:lang w:eastAsia="ar-SA"/>
              </w:rPr>
              <w:t xml:space="preserve"> </w:t>
            </w:r>
          </w:p>
        </w:tc>
        <w:tc>
          <w:tcPr>
            <w:tcW w:w="5635" w:type="dxa"/>
          </w:tcPr>
          <w:p w14:paraId="7BE36AAE" w14:textId="77777777" w:rsidR="00227874" w:rsidRPr="007512D4" w:rsidRDefault="00227874" w:rsidP="00227874">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5635" w:type="dxa"/>
          </w:tcPr>
          <w:p w14:paraId="49FCB416" w14:textId="44B3F352" w:rsidR="00227874" w:rsidRPr="007512D4" w:rsidRDefault="00227874" w:rsidP="00F619EA">
            <w:pPr>
              <w:jc w:val="both"/>
              <w:rPr>
                <w:b/>
              </w:rPr>
            </w:pP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0498DB13"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40D183D4" w:rsidR="00C87824" w:rsidRPr="006B5917" w:rsidRDefault="00227874" w:rsidP="00C87824">
            <w:pPr>
              <w:pStyle w:val="Tekstpodstawowy"/>
              <w:rPr>
                <w:rFonts w:eastAsiaTheme="minorHAnsi"/>
                <w:color w:val="000000"/>
                <w:sz w:val="20"/>
                <w:lang w:eastAsia="en-US"/>
              </w:rPr>
            </w:pPr>
            <w:r w:rsidRPr="006B5917">
              <w:rPr>
                <w:rFonts w:eastAsiaTheme="minorHAnsi"/>
                <w:color w:val="000000"/>
                <w:sz w:val="20"/>
                <w:lang w:eastAsia="en-US"/>
              </w:rPr>
              <w:t xml:space="preserve">- </w:t>
            </w:r>
            <w:r w:rsidR="00C87824">
              <w:rPr>
                <w:rFonts w:eastAsiaTheme="minorHAnsi"/>
                <w:color w:val="000000"/>
                <w:sz w:val="20"/>
                <w:lang w:eastAsia="en-US"/>
              </w:rPr>
              <w:t>B</w:t>
            </w:r>
            <w:r w:rsidR="00C87824" w:rsidRPr="006B5917">
              <w:rPr>
                <w:rFonts w:eastAsiaTheme="minorHAnsi"/>
                <w:color w:val="000000"/>
                <w:sz w:val="20"/>
                <w:lang w:eastAsia="en-US"/>
              </w:rPr>
              <w:t xml:space="preserve">elka sygnalizacyjna w technologii LED, </w:t>
            </w:r>
            <w:r w:rsidR="00C87824">
              <w:rPr>
                <w:rFonts w:eastAsiaTheme="minorHAnsi"/>
                <w:color w:val="000000"/>
                <w:sz w:val="20"/>
                <w:lang w:eastAsia="en-US"/>
              </w:rPr>
              <w:t xml:space="preserve">budowa </w:t>
            </w:r>
            <w:proofErr w:type="spellStart"/>
            <w:r w:rsidR="00C87824">
              <w:rPr>
                <w:rFonts w:eastAsiaTheme="minorHAnsi"/>
                <w:color w:val="000000"/>
                <w:sz w:val="20"/>
                <w:lang w:eastAsia="en-US"/>
              </w:rPr>
              <w:t>niskoprofilowa</w:t>
            </w:r>
            <w:proofErr w:type="spellEnd"/>
            <w:r w:rsidR="00C87824">
              <w:rPr>
                <w:rFonts w:eastAsiaTheme="minorHAnsi"/>
                <w:color w:val="000000"/>
                <w:sz w:val="20"/>
                <w:lang w:eastAsia="en-US"/>
              </w:rPr>
              <w:t xml:space="preserve"> </w:t>
            </w:r>
            <w:r w:rsidR="00C87824" w:rsidRPr="006B5917">
              <w:rPr>
                <w:rFonts w:eastAsiaTheme="minorHAnsi"/>
                <w:color w:val="000000"/>
                <w:sz w:val="20"/>
                <w:lang w:eastAsia="en-US"/>
              </w:rPr>
              <w:t xml:space="preserve">o szerokości co najmniej 1750 mm. Belka montowana na dachu kabiny, </w:t>
            </w:r>
            <w:r w:rsidR="00C87824" w:rsidRPr="00156DBC">
              <w:rPr>
                <w:sz w:val="20"/>
              </w:rPr>
              <w:t>musi być́ osłonięta konstrukcją</w:t>
            </w:r>
            <w:r w:rsidR="00C87824">
              <w:rPr>
                <w:sz w:val="20"/>
              </w:rPr>
              <w:t xml:space="preserve"> w kolorze czarny</w:t>
            </w:r>
            <w:r w:rsidR="00F619EA">
              <w:rPr>
                <w:sz w:val="20"/>
              </w:rPr>
              <w:t>m</w:t>
            </w:r>
            <w:r w:rsidR="00C87824">
              <w:rPr>
                <w:sz w:val="20"/>
              </w:rPr>
              <w:t>,</w:t>
            </w:r>
            <w:r w:rsidR="00C87824" w:rsidRPr="00156DBC">
              <w:rPr>
                <w:sz w:val="20"/>
              </w:rPr>
              <w:t xml:space="preserve"> uniemożliwiającą uszkodzenie jej przez np. gałęzie</w:t>
            </w:r>
            <w:r w:rsidR="00C87824" w:rsidRPr="006B5917">
              <w:rPr>
                <w:rFonts w:eastAsiaTheme="minorHAnsi"/>
                <w:color w:val="000000"/>
                <w:sz w:val="20"/>
                <w:lang w:eastAsia="en-US"/>
              </w:rPr>
              <w:t>. Belka musi być wyposażona co najmniej w</w:t>
            </w:r>
            <w:r w:rsidR="00C87824">
              <w:rPr>
                <w:rFonts w:eastAsiaTheme="minorHAnsi"/>
                <w:color w:val="000000"/>
                <w:sz w:val="20"/>
                <w:lang w:eastAsia="en-US"/>
              </w:rPr>
              <w:t xml:space="preserve"> sześć modułów</w:t>
            </w:r>
            <w:r w:rsidR="00C87824" w:rsidRPr="006B5917">
              <w:rPr>
                <w:rFonts w:eastAsiaTheme="minorHAnsi"/>
                <w:color w:val="000000"/>
                <w:sz w:val="20"/>
                <w:lang w:eastAsia="en-US"/>
              </w:rPr>
              <w:t xml:space="preserve"> oświetleniow</w:t>
            </w:r>
            <w:r w:rsidR="00C87824">
              <w:rPr>
                <w:rFonts w:eastAsiaTheme="minorHAnsi"/>
                <w:color w:val="000000"/>
                <w:sz w:val="20"/>
                <w:lang w:eastAsia="en-US"/>
              </w:rPr>
              <w:t>ych</w:t>
            </w:r>
            <w:r w:rsidR="00C87824" w:rsidRPr="006B5917">
              <w:rPr>
                <w:rFonts w:eastAsiaTheme="minorHAnsi"/>
                <w:color w:val="000000"/>
                <w:sz w:val="20"/>
                <w:lang w:eastAsia="en-US"/>
              </w:rPr>
              <w:t xml:space="preserve"> typu LED umieszczon</w:t>
            </w:r>
            <w:r w:rsidR="00C87824">
              <w:rPr>
                <w:rFonts w:eastAsiaTheme="minorHAnsi"/>
                <w:color w:val="000000"/>
                <w:sz w:val="20"/>
                <w:lang w:eastAsia="en-US"/>
              </w:rPr>
              <w:t>ych</w:t>
            </w:r>
            <w:r w:rsidR="00C87824" w:rsidRPr="006B5917">
              <w:rPr>
                <w:rFonts w:eastAsiaTheme="minorHAnsi"/>
                <w:color w:val="000000"/>
                <w:sz w:val="20"/>
                <w:lang w:eastAsia="en-US"/>
              </w:rPr>
              <w:t xml:space="preserve"> </w:t>
            </w:r>
            <w:r w:rsidR="00C87824">
              <w:rPr>
                <w:rFonts w:eastAsiaTheme="minorHAnsi"/>
                <w:color w:val="000000"/>
                <w:sz w:val="20"/>
                <w:lang w:eastAsia="en-US"/>
              </w:rPr>
              <w:t>z przodu</w:t>
            </w:r>
            <w:r w:rsidR="00C87824" w:rsidRPr="006B5917">
              <w:rPr>
                <w:rFonts w:eastAsiaTheme="minorHAnsi"/>
                <w:color w:val="000000"/>
                <w:sz w:val="20"/>
                <w:lang w:eastAsia="en-US"/>
              </w:rPr>
              <w:t xml:space="preserve"> oraz co najmniej po jednym module typu LED na każdym boku belki. Belka bez napisów</w:t>
            </w:r>
            <w:r w:rsidR="00222054">
              <w:rPr>
                <w:rFonts w:eastAsiaTheme="minorHAnsi"/>
                <w:color w:val="000000"/>
                <w:sz w:val="20"/>
                <w:lang w:eastAsia="en-US"/>
              </w:rPr>
              <w:t>.</w:t>
            </w:r>
            <w:r w:rsidR="00C87824" w:rsidRPr="006B5917">
              <w:rPr>
                <w:rFonts w:eastAsiaTheme="minorHAnsi"/>
                <w:color w:val="000000"/>
                <w:sz w:val="20"/>
                <w:lang w:eastAsia="en-US"/>
              </w:rPr>
              <w:t xml:space="preserve"> </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5635" w:type="dxa"/>
          </w:tcPr>
          <w:p w14:paraId="721EC2C3" w14:textId="77777777" w:rsidR="00227874" w:rsidRPr="007512D4" w:rsidRDefault="00227874" w:rsidP="00227874">
            <w:pPr>
              <w:jc w:val="both"/>
              <w:rPr>
                <w:b/>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w:t>
            </w:r>
            <w:r w:rsidRPr="007512D4">
              <w:lastRenderedPageBreak/>
              <w:t xml:space="preserve">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lastRenderedPageBreak/>
              <w:t>2.13</w:t>
            </w:r>
          </w:p>
        </w:tc>
        <w:tc>
          <w:tcPr>
            <w:tcW w:w="7513"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2053D8EC" w14:textId="77120298" w:rsidR="00227874" w:rsidRPr="007512D4" w:rsidRDefault="00227874" w:rsidP="00227874">
            <w:pPr>
              <w:jc w:val="both"/>
            </w:pPr>
            <w:r w:rsidRPr="007512D4">
              <w:t xml:space="preserve">- podest </w:t>
            </w:r>
            <w:r w:rsidRPr="00623737">
              <w:t>z wyłącznikiem</w:t>
            </w:r>
            <w:r w:rsidRPr="007512D4">
              <w:t xml:space="preserve"> między kierowcą a dowódcą na 4 szt. ładowarek do radiotelefonów oraz </w:t>
            </w:r>
            <w:r>
              <w:t>6</w:t>
            </w:r>
            <w:r w:rsidRPr="007512D4">
              <w:t xml:space="preserve"> szt. ładowarek do latarek (ładowarki do radiotelefonów i latarek dostarczy zamawiający),</w:t>
            </w:r>
          </w:p>
          <w:p w14:paraId="4BB597D2" w14:textId="3F1F4309"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gniazdo samochodowe 12V (4 szt.),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7777777" w:rsidR="00227874" w:rsidRPr="007512D4" w:rsidRDefault="00227874" w:rsidP="00227874">
            <w:pPr>
              <w:jc w:val="both"/>
            </w:pPr>
            <w:r w:rsidRPr="007512D4">
              <w:t xml:space="preserve">- lusterko </w:t>
            </w:r>
            <w:proofErr w:type="spellStart"/>
            <w:r w:rsidRPr="007512D4">
              <w:t>rampowe</w:t>
            </w:r>
            <w:proofErr w:type="spellEnd"/>
            <w:r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6651CCE3" w:rsidR="00227874" w:rsidRPr="00623737" w:rsidRDefault="00227874" w:rsidP="00227874">
            <w:pPr>
              <w:jc w:val="both"/>
            </w:pPr>
            <w:r w:rsidRPr="007512D4">
              <w:t>- z</w:t>
            </w:r>
            <w:r w:rsidRPr="00623737">
              <w:t xml:space="preserve">a fotelami kierowcy i dowódcy skrzynia umożliwiającymi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1C8CEF62" w:rsidR="00227874" w:rsidRPr="00E63EFD" w:rsidRDefault="00227874" w:rsidP="00E63EFD">
            <w:pPr>
              <w:shd w:val="clear" w:color="auto" w:fill="FFFFFF" w:themeFill="background1"/>
              <w:jc w:val="both"/>
            </w:pPr>
            <w:r w:rsidRPr="007512D4">
              <w:t xml:space="preserve">- </w:t>
            </w:r>
            <w:r w:rsidRPr="00E63EFD">
              <w:t>fabryczny radioodt</w:t>
            </w:r>
            <w:r w:rsidR="003B555D">
              <w:t xml:space="preserve">warzacz z instalacją głośnikową, (z funkcją </w:t>
            </w:r>
            <w:proofErr w:type="spellStart"/>
            <w:r w:rsidR="003B555D" w:rsidRPr="003B555D">
              <w:t>bluetooth</w:t>
            </w:r>
            <w:proofErr w:type="spellEnd"/>
            <w:r w:rsidR="003B555D">
              <w:t>)</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 xml:space="preserve">W przedziale autopompy dodatkowy manipulator współpracujący z radiotelefonem przewoźnym umożliwiający </w:t>
            </w:r>
            <w:r w:rsidR="00227874" w:rsidRPr="00A37002">
              <w:lastRenderedPageBreak/>
              <w:t>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5635" w:type="dxa"/>
          </w:tcPr>
          <w:p w14:paraId="182859A0" w14:textId="77777777" w:rsidR="00227874" w:rsidRPr="007512D4" w:rsidRDefault="00227874" w:rsidP="00227874">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lastRenderedPageBreak/>
              <w:t>2.15</w:t>
            </w:r>
          </w:p>
        </w:tc>
        <w:tc>
          <w:tcPr>
            <w:tcW w:w="7513"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7512D4" w:rsidRDefault="00227874" w:rsidP="00227874">
            <w:pPr>
              <w:jc w:val="center"/>
              <w:rPr>
                <w:bCs/>
              </w:rPr>
            </w:pPr>
            <w:r>
              <w:rPr>
                <w:bCs/>
              </w:rPr>
              <w:t>2.19</w:t>
            </w:r>
          </w:p>
        </w:tc>
        <w:tc>
          <w:tcPr>
            <w:tcW w:w="7513" w:type="dxa"/>
          </w:tcPr>
          <w:p w14:paraId="6507CC43" w14:textId="1004D539" w:rsidR="00227874" w:rsidRPr="00623737" w:rsidRDefault="00227874" w:rsidP="00227874">
            <w:pPr>
              <w:jc w:val="both"/>
            </w:pPr>
            <w:r w:rsidRPr="007512D4">
              <w:t xml:space="preserve">Integralny układ prostowniczy do ładowania akumulatorów pojazdu z zewnętrznego </w:t>
            </w:r>
            <w:r w:rsidRPr="007512D4">
              <w:lastRenderedPageBreak/>
              <w:t>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lastRenderedPageBreak/>
              <w:t>2.20</w:t>
            </w:r>
          </w:p>
        </w:tc>
        <w:tc>
          <w:tcPr>
            <w:tcW w:w="7513"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5635" w:type="dxa"/>
          </w:tcPr>
          <w:p w14:paraId="0A0F61A4" w14:textId="77777777" w:rsidR="00227874" w:rsidRPr="007512D4" w:rsidRDefault="00227874" w:rsidP="00227874">
            <w:pPr>
              <w:jc w:val="both"/>
              <w:rPr>
                <w:b/>
              </w:rPr>
            </w:pPr>
          </w:p>
        </w:tc>
      </w:tr>
      <w:tr w:rsidR="00227874" w:rsidRPr="007512D4" w14:paraId="1D2B35EA" w14:textId="77777777" w:rsidTr="007512D4">
        <w:tc>
          <w:tcPr>
            <w:tcW w:w="846" w:type="dxa"/>
          </w:tcPr>
          <w:p w14:paraId="766E41CD" w14:textId="35203D52" w:rsidR="00227874" w:rsidRPr="007512D4" w:rsidRDefault="00227874" w:rsidP="00227874">
            <w:pPr>
              <w:jc w:val="center"/>
              <w:rPr>
                <w:bCs/>
              </w:rPr>
            </w:pPr>
            <w:r>
              <w:rPr>
                <w:bCs/>
              </w:rPr>
              <w:t>2.21</w:t>
            </w:r>
          </w:p>
        </w:tc>
        <w:tc>
          <w:tcPr>
            <w:tcW w:w="7513" w:type="dxa"/>
          </w:tcPr>
          <w:p w14:paraId="7EDF3EF8" w14:textId="198B3B62" w:rsidR="00227874" w:rsidRPr="00C22417" w:rsidRDefault="00227874" w:rsidP="00D139E5">
            <w:pPr>
              <w:jc w:val="both"/>
            </w:pPr>
            <w:r w:rsidRPr="00C22417">
              <w:t xml:space="preserve">Pojazd wyposażony w dodatkowy sygnał pneumatyczny, </w:t>
            </w:r>
            <w:r w:rsidR="00D139E5">
              <w:t xml:space="preserve">włączany dwoma niezależnymi włącznikami </w:t>
            </w:r>
            <w:r w:rsidR="007C0128">
              <w:t>z miejsca</w:t>
            </w:r>
            <w:r w:rsidRPr="00C22417">
              <w:t xml:space="preserve"> kierowcy oraz dowódcy.</w:t>
            </w:r>
          </w:p>
        </w:tc>
        <w:tc>
          <w:tcPr>
            <w:tcW w:w="5635" w:type="dxa"/>
          </w:tcPr>
          <w:p w14:paraId="557FA6B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C1CF838" w:rsidR="00227874" w:rsidRPr="007512D4" w:rsidRDefault="00227874" w:rsidP="00227874">
            <w:pPr>
              <w:jc w:val="center"/>
              <w:rPr>
                <w:bCs/>
              </w:rPr>
            </w:pPr>
            <w:r>
              <w:rPr>
                <w:bCs/>
              </w:rPr>
              <w:t>2.22</w:t>
            </w:r>
          </w:p>
        </w:tc>
        <w:tc>
          <w:tcPr>
            <w:tcW w:w="7513"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2AE4628A" w:rsidR="00227874" w:rsidRPr="007512D4" w:rsidRDefault="00227874" w:rsidP="00227874">
            <w:pPr>
              <w:jc w:val="center"/>
              <w:rPr>
                <w:bCs/>
              </w:rPr>
            </w:pPr>
            <w:r>
              <w:rPr>
                <w:bCs/>
              </w:rPr>
              <w:t>2.23</w:t>
            </w:r>
          </w:p>
        </w:tc>
        <w:tc>
          <w:tcPr>
            <w:tcW w:w="7513"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0AD1D2F" w:rsidR="00227874" w:rsidRPr="007512D4" w:rsidRDefault="00227874" w:rsidP="00227874">
            <w:pPr>
              <w:jc w:val="center"/>
              <w:rPr>
                <w:bCs/>
              </w:rPr>
            </w:pPr>
            <w:r>
              <w:rPr>
                <w:bCs/>
              </w:rPr>
              <w:t>2.24</w:t>
            </w:r>
          </w:p>
        </w:tc>
        <w:tc>
          <w:tcPr>
            <w:tcW w:w="7513"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77777777" w:rsidR="00227874" w:rsidRPr="007512D4" w:rsidRDefault="00227874" w:rsidP="00227874">
            <w:pPr>
              <w:jc w:val="both"/>
              <w:rPr>
                <w:b/>
              </w:rPr>
            </w:pPr>
          </w:p>
        </w:tc>
      </w:tr>
      <w:tr w:rsidR="00227874" w:rsidRPr="007512D4" w14:paraId="4C9DB258" w14:textId="77777777" w:rsidTr="007512D4">
        <w:tc>
          <w:tcPr>
            <w:tcW w:w="846" w:type="dxa"/>
          </w:tcPr>
          <w:p w14:paraId="6C51A42A" w14:textId="16118D15" w:rsidR="00227874" w:rsidRPr="007512D4" w:rsidRDefault="00227874" w:rsidP="00227874">
            <w:pPr>
              <w:jc w:val="center"/>
              <w:rPr>
                <w:bCs/>
              </w:rPr>
            </w:pPr>
            <w:r>
              <w:rPr>
                <w:bCs/>
              </w:rPr>
              <w:t>2.25</w:t>
            </w:r>
          </w:p>
        </w:tc>
        <w:tc>
          <w:tcPr>
            <w:tcW w:w="7513"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53E9F8AC" w:rsidR="00227874" w:rsidRPr="007512D4" w:rsidRDefault="00227874" w:rsidP="00227874">
            <w:pPr>
              <w:jc w:val="center"/>
              <w:rPr>
                <w:bCs/>
              </w:rPr>
            </w:pPr>
            <w:r>
              <w:rPr>
                <w:bCs/>
              </w:rPr>
              <w:t>2.26</w:t>
            </w:r>
          </w:p>
        </w:tc>
        <w:tc>
          <w:tcPr>
            <w:tcW w:w="7513"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4AED1E9F" w:rsidR="00227874" w:rsidRPr="00FB2F82" w:rsidRDefault="00227874" w:rsidP="00227874">
            <w:pPr>
              <w:jc w:val="center"/>
            </w:pPr>
            <w:r w:rsidRPr="00FB2F82">
              <w:lastRenderedPageBreak/>
              <w:t>2.27</w:t>
            </w:r>
          </w:p>
        </w:tc>
        <w:tc>
          <w:tcPr>
            <w:tcW w:w="7513"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3F1146C0" w:rsidR="00227874" w:rsidRPr="007512D4" w:rsidRDefault="00227874" w:rsidP="00227874">
            <w:pPr>
              <w:jc w:val="center"/>
              <w:rPr>
                <w:bCs/>
              </w:rPr>
            </w:pPr>
            <w:r>
              <w:rPr>
                <w:bCs/>
              </w:rPr>
              <w:t>2.28</w:t>
            </w:r>
          </w:p>
        </w:tc>
        <w:tc>
          <w:tcPr>
            <w:tcW w:w="7513"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520A5240" w:rsidR="00227874" w:rsidRPr="00623737" w:rsidRDefault="00227874" w:rsidP="000C5BCE">
            <w:pPr>
              <w:jc w:val="both"/>
            </w:pPr>
            <w:r w:rsidRPr="007512D4">
              <w:t xml:space="preserve">- tylny zaczep holowniczy typu </w:t>
            </w:r>
            <w:proofErr w:type="spellStart"/>
            <w:r w:rsidRPr="007512D4">
              <w:t>paszczowego</w:t>
            </w:r>
            <w:proofErr w:type="spellEnd"/>
            <w:r w:rsidRPr="007512D4">
              <w:t xml:space="preserve"> zapewniający możliwość holowania przyczepy, gniazdo 24 </w:t>
            </w:r>
            <w:r w:rsidR="009544BD">
              <w:t>V</w:t>
            </w:r>
            <w:r w:rsidRPr="007512D4">
              <w:t xml:space="preserve">, gniazdo pneumatyczne oraz gniazdo ABS </w:t>
            </w:r>
            <w:r w:rsidR="00600F2B">
              <w:br/>
            </w:r>
            <w:r w:rsidRPr="007512D4">
              <w:t xml:space="preserve">do podłączania instalacji przyczepy. </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7512D4" w:rsidRDefault="00227874" w:rsidP="00227874">
            <w:pPr>
              <w:jc w:val="center"/>
              <w:rPr>
                <w:bCs/>
              </w:rPr>
            </w:pPr>
            <w:r>
              <w:rPr>
                <w:bCs/>
              </w:rPr>
              <w:t>3.1</w:t>
            </w:r>
          </w:p>
        </w:tc>
        <w:tc>
          <w:tcPr>
            <w:tcW w:w="7513"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5635" w:type="dxa"/>
          </w:tcPr>
          <w:p w14:paraId="1715C508" w14:textId="77777777" w:rsidR="00227874" w:rsidRPr="007512D4" w:rsidRDefault="00227874" w:rsidP="00227874">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5635" w:type="dxa"/>
          </w:tcPr>
          <w:p w14:paraId="720298EF" w14:textId="77777777" w:rsidR="00227874" w:rsidRPr="007512D4" w:rsidRDefault="00227874" w:rsidP="00227874">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xml:space="preserve">, (końcówka do podawania piany zamontowana na dachu pojazdu obok działka lub w innym miejscu wskazanym przez zamawiającego). Zakres obrotu działka w płaszczyźnie pionowej - od kąta limitowanego </w:t>
            </w:r>
            <w:r w:rsidRPr="00CA6EE9">
              <w:lastRenderedPageBreak/>
              <w:t>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lastRenderedPageBreak/>
              <w:t>3.6</w:t>
            </w:r>
          </w:p>
        </w:tc>
        <w:tc>
          <w:tcPr>
            <w:tcW w:w="7513"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 xml:space="preserve">Ściany pionowe skrytek wykonane z blachy aluminiowej gładkiej, ściany poziome wykonane z blachy aluminiowej </w:t>
            </w:r>
            <w:proofErr w:type="spellStart"/>
            <w:r w:rsidR="00D1056B" w:rsidRPr="00D1056B">
              <w:rPr>
                <w:rFonts w:eastAsia="Times New Roman"/>
                <w:color w:val="auto"/>
                <w:sz w:val="20"/>
                <w:szCs w:val="20"/>
                <w:lang w:eastAsia="ar-SA"/>
              </w:rPr>
              <w:t>łezkowej</w:t>
            </w:r>
            <w:proofErr w:type="spellEnd"/>
            <w:r w:rsidR="00D1056B" w:rsidRPr="00D1056B">
              <w:rPr>
                <w:rFonts w:eastAsia="Times New Roman"/>
                <w:color w:val="auto"/>
                <w:sz w:val="20"/>
                <w:szCs w:val="20"/>
                <w:lang w:eastAsia="ar-SA"/>
              </w:rPr>
              <w:t>.</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t>3.9</w:t>
            </w:r>
          </w:p>
        </w:tc>
        <w:tc>
          <w:tcPr>
            <w:tcW w:w="7513"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t>3.10</w:t>
            </w:r>
          </w:p>
        </w:tc>
        <w:tc>
          <w:tcPr>
            <w:tcW w:w="7513" w:type="dxa"/>
            <w:shd w:val="clear" w:color="auto" w:fill="auto"/>
          </w:tcPr>
          <w:p w14:paraId="0CB9EE19" w14:textId="46208140" w:rsidR="00227874" w:rsidRPr="007512D4" w:rsidRDefault="00227874" w:rsidP="00227874">
            <w:pPr>
              <w:jc w:val="both"/>
              <w:rPr>
                <w:bCs/>
              </w:rPr>
            </w:pPr>
            <w:r w:rsidRPr="007512D4">
              <w:t xml:space="preserve">Schowki wyposażone w regał obrotowy na urządzenia ratownicze typu łom, młot, siekiera itp. oraz podesty wysuwane </w:t>
            </w:r>
            <w:r w:rsidR="009544BD">
              <w:t>2</w:t>
            </w:r>
            <w:r w:rsidRPr="007512D4">
              <w:t xml:space="preserve"> szt. pod sprzęt hydrauliczny, agregat prądotwórczy </w:t>
            </w:r>
            <w:r w:rsidR="009544BD">
              <w:t>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r w:rsidR="006E15D1">
              <w:t xml:space="preserve"> </w:t>
            </w:r>
          </w:p>
        </w:tc>
        <w:tc>
          <w:tcPr>
            <w:tcW w:w="5635" w:type="dxa"/>
          </w:tcPr>
          <w:p w14:paraId="53EFE7BC" w14:textId="77777777" w:rsidR="00227874" w:rsidRPr="007512D4" w:rsidRDefault="00227874" w:rsidP="00227874">
            <w:pPr>
              <w:jc w:val="both"/>
              <w:rPr>
                <w:b/>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4FEFBCC5" w14:textId="689DF9A9" w:rsidR="00227874" w:rsidRDefault="00227874" w:rsidP="00227874">
            <w:pPr>
              <w:snapToGrid w:val="0"/>
              <w:jc w:val="both"/>
            </w:pPr>
            <w:r w:rsidRPr="001C468D">
              <w:t>- oświetlenie  listwy typu  LED umieszczone nad drzwiami</w:t>
            </w:r>
            <w:r w:rsidR="00014655" w:rsidRPr="001C468D">
              <w:t xml:space="preserve"> wyjściowymi</w:t>
            </w:r>
            <w:r w:rsidRPr="001C468D">
              <w:t xml:space="preserve"> kabiny  załogi,</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lastRenderedPageBreak/>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5635" w:type="dxa"/>
          </w:tcPr>
          <w:p w14:paraId="4E9F442D" w14:textId="77777777" w:rsidR="00227874" w:rsidRPr="007512D4" w:rsidRDefault="00227874" w:rsidP="00227874">
            <w:pPr>
              <w:jc w:val="both"/>
              <w:rPr>
                <w:b/>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lastRenderedPageBreak/>
              <w:t>3.12</w:t>
            </w:r>
          </w:p>
        </w:tc>
        <w:tc>
          <w:tcPr>
            <w:tcW w:w="7513"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t>3.15</w:t>
            </w:r>
          </w:p>
        </w:tc>
        <w:tc>
          <w:tcPr>
            <w:tcW w:w="7513"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38019DA7" w:rsidR="00BC4E22" w:rsidRPr="007512D4" w:rsidRDefault="00BC4E22" w:rsidP="00BC4E22">
            <w:pPr>
              <w:jc w:val="both"/>
              <w:rPr>
                <w:bCs/>
              </w:rPr>
            </w:pPr>
            <w:r w:rsidRPr="007512D4">
              <w:t>Zbiornik wody o pojemności min. 4</w:t>
            </w:r>
            <w:r w:rsidR="002907EC">
              <w:t>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5635" w:type="dxa"/>
          </w:tcPr>
          <w:p w14:paraId="746F9365" w14:textId="3109D62D"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315E8FC7" w:rsidR="00BC4E22" w:rsidRPr="007512D4" w:rsidRDefault="000B6090" w:rsidP="00BC4E22">
            <w:pPr>
              <w:pStyle w:val="Tekstpodstawowy"/>
              <w:rPr>
                <w:bCs/>
              </w:rPr>
            </w:pPr>
            <w:r w:rsidRPr="00156DBC">
              <w:rPr>
                <w:sz w:val="20"/>
              </w:rPr>
              <w:t xml:space="preserve">Zbiornik wody musi być wyposażony w dwie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t>3.18</w:t>
            </w:r>
          </w:p>
        </w:tc>
        <w:tc>
          <w:tcPr>
            <w:tcW w:w="7513"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7512D4" w:rsidRDefault="00BC4E22" w:rsidP="00BC4E22">
            <w:pPr>
              <w:jc w:val="both"/>
              <w:rPr>
                <w:bCs/>
              </w:rPr>
            </w:pPr>
            <w:r w:rsidRPr="007512D4">
              <w:t xml:space="preserve">Dodatkowo pobieranie środka pianotwórczego musi być możliwe z poziomu gruntu, poprzez nasadę </w:t>
            </w:r>
            <w:proofErr w:type="spellStart"/>
            <w:r w:rsidRPr="007512D4">
              <w:t>Storz</w:t>
            </w:r>
            <w:proofErr w:type="spellEnd"/>
            <w:r w:rsidRPr="007512D4">
              <w:t xml:space="preserve"> 52, wyprowadzoną z tyłu pojazdu, w okolicy zderzaka</w:t>
            </w:r>
            <w:r w:rsidR="002907EC">
              <w:t>.</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t>3.19</w:t>
            </w:r>
          </w:p>
        </w:tc>
        <w:tc>
          <w:tcPr>
            <w:tcW w:w="7513"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 xml:space="preserve">silnika urządzeniem, pochodzącym od tego samego producenta, jak urządzenie w kabinie kierowcy, zabezpieczającym układ </w:t>
            </w:r>
            <w:proofErr w:type="spellStart"/>
            <w:r w:rsidRPr="007512D4">
              <w:t>wodno</w:t>
            </w:r>
            <w:proofErr w:type="spellEnd"/>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7512D4" w:rsidRDefault="00BC4E22" w:rsidP="00BC4E22">
            <w:pPr>
              <w:jc w:val="both"/>
              <w:rPr>
                <w:bCs/>
              </w:rPr>
            </w:pPr>
            <w:r w:rsidRPr="007512D4">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lastRenderedPageBreak/>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lastRenderedPageBreak/>
              <w:t>3.23</w:t>
            </w:r>
          </w:p>
        </w:tc>
        <w:tc>
          <w:tcPr>
            <w:tcW w:w="7513"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7512D4" w:rsidRDefault="00BC4E22" w:rsidP="00BC4E22">
            <w:pPr>
              <w:jc w:val="center"/>
              <w:rPr>
                <w:bCs/>
              </w:rPr>
            </w:pPr>
            <w:r>
              <w:rPr>
                <w:bCs/>
              </w:rPr>
              <w:t>3.24</w:t>
            </w:r>
          </w:p>
        </w:tc>
        <w:tc>
          <w:tcPr>
            <w:tcW w:w="7513"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xml:space="preserve">- instalacji </w:t>
            </w:r>
            <w:proofErr w:type="spellStart"/>
            <w:r w:rsidRPr="007512D4">
              <w:t>zraszaczowej</w:t>
            </w:r>
            <w:proofErr w:type="spellEnd"/>
            <w:r w:rsidR="0025638F">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lastRenderedPageBreak/>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29D79269" w:rsidR="00BC4E22" w:rsidRPr="001C468D" w:rsidRDefault="00BC4E22" w:rsidP="001C468D">
            <w:pPr>
              <w:numPr>
                <w:ilvl w:val="0"/>
                <w:numId w:val="1"/>
              </w:numPr>
              <w:snapToGrid w:val="0"/>
              <w:jc w:val="both"/>
            </w:pPr>
            <w:r w:rsidRPr="007512D4">
              <w:t>sterowanie falą świetlną,</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lastRenderedPageBreak/>
              <w:t>3.30</w:t>
            </w:r>
          </w:p>
        </w:tc>
        <w:tc>
          <w:tcPr>
            <w:tcW w:w="7513"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t>
            </w:r>
            <w:proofErr w:type="spellStart"/>
            <w:r w:rsidRPr="007512D4">
              <w:t>wodno</w:t>
            </w:r>
            <w:proofErr w:type="spellEnd"/>
            <w:r w:rsidRPr="007512D4">
              <w:t xml:space="preserve">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5635" w:type="dxa"/>
          </w:tcPr>
          <w:p w14:paraId="4E8BDE8A" w14:textId="77777777" w:rsidR="00BC4E22" w:rsidRPr="007512D4" w:rsidRDefault="00BC4E22" w:rsidP="00BC4E22">
            <w:pPr>
              <w:jc w:val="both"/>
              <w:rPr>
                <w:b/>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t>3.32</w:t>
            </w:r>
          </w:p>
        </w:tc>
        <w:tc>
          <w:tcPr>
            <w:tcW w:w="7513"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w:t>
            </w:r>
            <w:r w:rsidRPr="007512D4">
              <w:lastRenderedPageBreak/>
              <w:t xml:space="preserve">pianotwórczych i modyfikatorów wody. </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lastRenderedPageBreak/>
              <w:t>3.34</w:t>
            </w:r>
          </w:p>
        </w:tc>
        <w:tc>
          <w:tcPr>
            <w:tcW w:w="7513"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BC4E22" w:rsidRPr="007512D4" w14:paraId="1A06C6F2" w14:textId="77777777" w:rsidTr="007512D4">
        <w:tc>
          <w:tcPr>
            <w:tcW w:w="846" w:type="dxa"/>
          </w:tcPr>
          <w:p w14:paraId="3F036089" w14:textId="12E6F8F9" w:rsidR="00BC4E22" w:rsidRDefault="00BC4E22" w:rsidP="00BC4E22">
            <w:pPr>
              <w:jc w:val="center"/>
              <w:rPr>
                <w:bCs/>
              </w:rPr>
            </w:pPr>
            <w:r>
              <w:rPr>
                <w:bCs/>
              </w:rPr>
              <w:t>3.36</w:t>
            </w:r>
          </w:p>
        </w:tc>
        <w:tc>
          <w:tcPr>
            <w:tcW w:w="7513"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5635" w:type="dxa"/>
          </w:tcPr>
          <w:p w14:paraId="007EC2E0" w14:textId="77777777" w:rsidR="00BC4E22" w:rsidRPr="007512D4" w:rsidRDefault="00BC4E22" w:rsidP="00BC4E2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9E285F9" w14:textId="61919C0E" w:rsidR="000F5702" w:rsidRPr="00352B12" w:rsidRDefault="000F5702" w:rsidP="001C468D">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5635" w:type="dxa"/>
          </w:tcPr>
          <w:p w14:paraId="7A99F287" w14:textId="77777777" w:rsidR="000F5702" w:rsidRPr="007512D4" w:rsidRDefault="000F5702" w:rsidP="000F5702">
            <w:pPr>
              <w:jc w:val="both"/>
              <w:rPr>
                <w:b/>
              </w:rPr>
            </w:pPr>
          </w:p>
        </w:tc>
      </w:tr>
      <w:tr w:rsidR="000F5702" w:rsidRPr="007512D4" w14:paraId="17A01F2B" w14:textId="77777777" w:rsidTr="007512D4">
        <w:tc>
          <w:tcPr>
            <w:tcW w:w="846" w:type="dxa"/>
          </w:tcPr>
          <w:p w14:paraId="61AAA093" w14:textId="42E75F84" w:rsidR="000F5702" w:rsidRPr="007512D4" w:rsidRDefault="000F5702" w:rsidP="000F5702">
            <w:pPr>
              <w:jc w:val="center"/>
              <w:rPr>
                <w:bCs/>
              </w:rPr>
            </w:pPr>
            <w:r>
              <w:rPr>
                <w:bCs/>
              </w:rPr>
              <w:t>4.3</w:t>
            </w:r>
          </w:p>
        </w:tc>
        <w:tc>
          <w:tcPr>
            <w:tcW w:w="7513" w:type="dxa"/>
          </w:tcPr>
          <w:p w14:paraId="69DF0390" w14:textId="32B4A7FC"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t>
            </w:r>
          </w:p>
        </w:tc>
        <w:tc>
          <w:tcPr>
            <w:tcW w:w="5635" w:type="dxa"/>
          </w:tcPr>
          <w:p w14:paraId="2B989530" w14:textId="77777777" w:rsidR="000F5702" w:rsidRPr="007512D4" w:rsidRDefault="000F5702" w:rsidP="000F5702">
            <w:pPr>
              <w:jc w:val="both"/>
              <w:rPr>
                <w:b/>
              </w:rPr>
            </w:pPr>
          </w:p>
        </w:tc>
      </w:tr>
      <w:tr w:rsidR="000F5702" w:rsidRPr="007512D4" w14:paraId="4BBF6F9A" w14:textId="77777777" w:rsidTr="007512D4">
        <w:tc>
          <w:tcPr>
            <w:tcW w:w="846" w:type="dxa"/>
          </w:tcPr>
          <w:p w14:paraId="458584B4" w14:textId="08DA2F83" w:rsidR="000F5702" w:rsidRPr="007512D4" w:rsidRDefault="000F5702" w:rsidP="000F5702">
            <w:pPr>
              <w:jc w:val="center"/>
              <w:rPr>
                <w:bCs/>
              </w:rPr>
            </w:pPr>
            <w:r>
              <w:rPr>
                <w:bCs/>
              </w:rPr>
              <w:t>4.5</w:t>
            </w:r>
          </w:p>
        </w:tc>
        <w:tc>
          <w:tcPr>
            <w:tcW w:w="7513"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5635" w:type="dxa"/>
          </w:tcPr>
          <w:p w14:paraId="05E8B6F4"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355D594E" w:rsidR="000F5702" w:rsidRPr="007512D4" w:rsidRDefault="000F5702" w:rsidP="000F5702">
            <w:pPr>
              <w:jc w:val="center"/>
              <w:rPr>
                <w:bCs/>
              </w:rPr>
            </w:pPr>
            <w:r>
              <w:rPr>
                <w:bCs/>
              </w:rPr>
              <w:lastRenderedPageBreak/>
              <w:t>4.6</w:t>
            </w:r>
          </w:p>
        </w:tc>
        <w:tc>
          <w:tcPr>
            <w:tcW w:w="7513"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5635" w:type="dxa"/>
          </w:tcPr>
          <w:p w14:paraId="410148EB" w14:textId="77777777" w:rsidR="000F5702" w:rsidRPr="007512D4" w:rsidRDefault="000F5702"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59C578D2" w14:textId="77777777" w:rsidR="00577746" w:rsidRPr="00577746" w:rsidRDefault="00577746" w:rsidP="00577746">
            <w:pPr>
              <w:autoSpaceDE w:val="0"/>
              <w:autoSpaceDN w:val="0"/>
              <w:adjustRightInd w:val="0"/>
            </w:pPr>
            <w:r w:rsidRPr="00577746">
              <w:t>Gwarancja:</w:t>
            </w:r>
          </w:p>
          <w:p w14:paraId="07B8E81C" w14:textId="77777777" w:rsidR="00577746" w:rsidRPr="00577746" w:rsidRDefault="00577746" w:rsidP="00577746">
            <w:pPr>
              <w:autoSpaceDE w:val="0"/>
              <w:autoSpaceDN w:val="0"/>
              <w:adjustRightInd w:val="0"/>
            </w:pPr>
            <w:r w:rsidRPr="00577746">
              <w:t>- na podwozie pojazdu: min. 24 miesiące,</w:t>
            </w:r>
          </w:p>
          <w:p w14:paraId="5BAD2927" w14:textId="77777777" w:rsidR="00577746" w:rsidRPr="00577746" w:rsidRDefault="00577746" w:rsidP="00577746">
            <w:pPr>
              <w:autoSpaceDE w:val="0"/>
              <w:autoSpaceDN w:val="0"/>
              <w:adjustRightInd w:val="0"/>
            </w:pPr>
            <w:r w:rsidRPr="00577746">
              <w:t>- na zabudowę pożarniczą: min. 36 miesiące,</w:t>
            </w:r>
          </w:p>
          <w:p w14:paraId="1D1092BD" w14:textId="77777777" w:rsidR="00577746" w:rsidRPr="00577746" w:rsidRDefault="00577746" w:rsidP="00577746">
            <w:pPr>
              <w:autoSpaceDE w:val="0"/>
              <w:autoSpaceDN w:val="0"/>
              <w:adjustRightInd w:val="0"/>
            </w:pPr>
            <w:r w:rsidRPr="00577746">
              <w:t>- na dodatkowe wyposażenie zabudowy: zgodnie z gwarancją producentów, jednakże nie</w:t>
            </w:r>
          </w:p>
          <w:p w14:paraId="46B43B0E" w14:textId="1FDA20C6" w:rsidR="000F5702" w:rsidRPr="007512D4" w:rsidRDefault="00577746" w:rsidP="00577746">
            <w:pPr>
              <w:jc w:val="both"/>
              <w:rPr>
                <w:bCs/>
              </w:rPr>
            </w:pPr>
            <w:r w:rsidRPr="00577746">
              <w:t>krótsza niż 12 miesięcy.</w:t>
            </w:r>
          </w:p>
        </w:tc>
        <w:tc>
          <w:tcPr>
            <w:tcW w:w="5635" w:type="dxa"/>
          </w:tcPr>
          <w:p w14:paraId="0B4A63BA" w14:textId="05E64236" w:rsidR="000F5702" w:rsidRPr="007512D4" w:rsidRDefault="000F5702" w:rsidP="000F5702">
            <w:pPr>
              <w:jc w:val="both"/>
              <w:rPr>
                <w:b/>
              </w:rPr>
            </w:pPr>
          </w:p>
        </w:tc>
      </w:tr>
      <w:tr w:rsidR="000F5702" w:rsidRPr="007512D4" w14:paraId="3791B9DD" w14:textId="77777777" w:rsidTr="007512D4">
        <w:tc>
          <w:tcPr>
            <w:tcW w:w="846" w:type="dxa"/>
          </w:tcPr>
          <w:p w14:paraId="7E386679" w14:textId="6499FA32" w:rsidR="000F5702" w:rsidRPr="007512D4" w:rsidRDefault="000F5702" w:rsidP="000F5702">
            <w:pPr>
              <w:jc w:val="center"/>
              <w:rPr>
                <w:bCs/>
              </w:rPr>
            </w:pPr>
            <w:r>
              <w:rPr>
                <w:bCs/>
              </w:rPr>
              <w:t>5.2</w:t>
            </w:r>
          </w:p>
        </w:tc>
        <w:tc>
          <w:tcPr>
            <w:tcW w:w="7513"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5635" w:type="dxa"/>
          </w:tcPr>
          <w:p w14:paraId="68BD0C67" w14:textId="77777777" w:rsidR="000F5702" w:rsidRPr="007512D4"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563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DB12BE8" w14:textId="6D86B9B4" w:rsidR="006B334A" w:rsidRPr="0025638F" w:rsidRDefault="006B334A" w:rsidP="006B334A">
      <w:pPr>
        <w:rPr>
          <w:b/>
          <w:bCs/>
        </w:rPr>
      </w:pPr>
      <w:r w:rsidRPr="0025638F">
        <w:rPr>
          <w:b/>
          <w:bCs/>
        </w:rPr>
        <w:t xml:space="preserve">Prawą stronę tabeli, należy wypełnić stosując słowa „spełnia” lub „nie spełnia”, zaś w przypadku  wyższych wartości niż minimalne, wykazane w tabeli, należy wpisać oferowane wartości techniczno-użytkowe. </w:t>
      </w:r>
    </w:p>
    <w:p w14:paraId="363B5824" w14:textId="77777777" w:rsidR="006B334A" w:rsidRDefault="006B334A" w:rsidP="00101AB6">
      <w:pPr>
        <w:tabs>
          <w:tab w:val="left" w:pos="284"/>
        </w:tabs>
        <w:spacing w:line="256" w:lineRule="auto"/>
        <w:jc w:val="both"/>
      </w:pPr>
    </w:p>
    <w:p w14:paraId="1B171100" w14:textId="77777777" w:rsidR="00B87FE8" w:rsidRDefault="00B87FE8" w:rsidP="00101AB6">
      <w:pPr>
        <w:jc w:val="both"/>
      </w:pPr>
    </w:p>
    <w:p w14:paraId="6C251DD3" w14:textId="77777777" w:rsidR="00E7490B" w:rsidRDefault="00E7490B" w:rsidP="00101AB6">
      <w:pPr>
        <w:jc w:val="both"/>
      </w:pPr>
    </w:p>
    <w:p w14:paraId="02066BF3" w14:textId="77777777" w:rsidR="00E7490B" w:rsidRDefault="00E7490B" w:rsidP="00101AB6">
      <w:pPr>
        <w:jc w:val="both"/>
      </w:pPr>
    </w:p>
    <w:p w14:paraId="4B680059" w14:textId="77777777" w:rsidR="00E7490B" w:rsidRDefault="00E7490B" w:rsidP="00101AB6">
      <w:pPr>
        <w:jc w:val="both"/>
      </w:pPr>
      <w:bookmarkStart w:id="0" w:name="_GoBack"/>
      <w:bookmarkEnd w:id="0"/>
    </w:p>
    <w:p w14:paraId="0A8983B9" w14:textId="77777777" w:rsidR="00E7490B" w:rsidRPr="008B0A97" w:rsidRDefault="00E7490B" w:rsidP="00E7490B">
      <w:pPr>
        <w:pStyle w:val="NormalnyWeb"/>
        <w:spacing w:before="0" w:beforeAutospacing="0" w:after="0"/>
        <w:ind w:left="9204" w:firstLine="708"/>
      </w:pPr>
      <w:r w:rsidRPr="008B0A97">
        <w:rPr>
          <w:sz w:val="20"/>
          <w:szCs w:val="20"/>
        </w:rPr>
        <w:t>….........................................................................</w:t>
      </w:r>
    </w:p>
    <w:p w14:paraId="588F069B" w14:textId="2F729FF7" w:rsidR="00E7490B" w:rsidRPr="00E7490B" w:rsidRDefault="00E7490B" w:rsidP="00E7490B">
      <w:pPr>
        <w:pStyle w:val="NormalnyWeb"/>
        <w:spacing w:before="0" w:beforeAutospacing="0" w:after="0"/>
        <w:ind w:left="9912" w:firstLine="708"/>
        <w:rPr>
          <w:sz w:val="20"/>
          <w:szCs w:val="20"/>
        </w:rPr>
      </w:pPr>
      <w:r w:rsidRPr="00E7490B">
        <w:rPr>
          <w:sz w:val="20"/>
          <w:szCs w:val="20"/>
        </w:rPr>
        <w:t>podpis</w:t>
      </w:r>
      <w:r w:rsidRPr="00E7490B">
        <w:rPr>
          <w:sz w:val="20"/>
          <w:szCs w:val="20"/>
        </w:rPr>
        <w:t xml:space="preserve"> Wykonawcy</w:t>
      </w:r>
    </w:p>
    <w:p w14:paraId="66F61B7D" w14:textId="77777777" w:rsidR="00E7490B" w:rsidRPr="00E7490B" w:rsidRDefault="00E7490B" w:rsidP="00101AB6">
      <w:pPr>
        <w:jc w:val="both"/>
      </w:pPr>
    </w:p>
    <w:sectPr w:rsidR="00E7490B" w:rsidRPr="00E7490B" w:rsidSect="00280B0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1EE4" w14:textId="77777777" w:rsidR="001C2962" w:rsidRDefault="001C2962" w:rsidP="009E0FBE">
      <w:r>
        <w:separator/>
      </w:r>
    </w:p>
  </w:endnote>
  <w:endnote w:type="continuationSeparator" w:id="0">
    <w:p w14:paraId="6B090D23" w14:textId="77777777" w:rsidR="001C2962" w:rsidRDefault="001C2962"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E7490B" w:rsidRPr="00E7490B">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20D3" w14:textId="77777777" w:rsidR="001C2962" w:rsidRDefault="001C2962" w:rsidP="009E0FBE">
      <w:r>
        <w:separator/>
      </w:r>
    </w:p>
  </w:footnote>
  <w:footnote w:type="continuationSeparator" w:id="0">
    <w:p w14:paraId="61050D20" w14:textId="77777777" w:rsidR="001C2962" w:rsidRDefault="001C2962"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0AB6" w14:textId="2DEAE051"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3"/>
    <w:rsid w:val="0000185F"/>
    <w:rsid w:val="00014655"/>
    <w:rsid w:val="00043933"/>
    <w:rsid w:val="000511F6"/>
    <w:rsid w:val="00056ACF"/>
    <w:rsid w:val="000826C8"/>
    <w:rsid w:val="000866B0"/>
    <w:rsid w:val="000A5F61"/>
    <w:rsid w:val="000B04B5"/>
    <w:rsid w:val="000B6090"/>
    <w:rsid w:val="000C5BCE"/>
    <w:rsid w:val="000D2B1C"/>
    <w:rsid w:val="000E5C86"/>
    <w:rsid w:val="000F2041"/>
    <w:rsid w:val="000F5702"/>
    <w:rsid w:val="00101AB6"/>
    <w:rsid w:val="001344E3"/>
    <w:rsid w:val="001548F2"/>
    <w:rsid w:val="00174B81"/>
    <w:rsid w:val="00196B75"/>
    <w:rsid w:val="001C2962"/>
    <w:rsid w:val="001C468D"/>
    <w:rsid w:val="001E29EA"/>
    <w:rsid w:val="001E6F3C"/>
    <w:rsid w:val="001F3B90"/>
    <w:rsid w:val="00204EEF"/>
    <w:rsid w:val="00222054"/>
    <w:rsid w:val="00227874"/>
    <w:rsid w:val="00234D9B"/>
    <w:rsid w:val="00254BF8"/>
    <w:rsid w:val="0025638F"/>
    <w:rsid w:val="0027032A"/>
    <w:rsid w:val="00277A21"/>
    <w:rsid w:val="00280B03"/>
    <w:rsid w:val="002907EC"/>
    <w:rsid w:val="002A43D6"/>
    <w:rsid w:val="002B604E"/>
    <w:rsid w:val="002B633B"/>
    <w:rsid w:val="002C6CFE"/>
    <w:rsid w:val="002D0E97"/>
    <w:rsid w:val="002F45C9"/>
    <w:rsid w:val="00311CB6"/>
    <w:rsid w:val="00327B2D"/>
    <w:rsid w:val="00346A8F"/>
    <w:rsid w:val="00352B12"/>
    <w:rsid w:val="00370298"/>
    <w:rsid w:val="00374431"/>
    <w:rsid w:val="003950C8"/>
    <w:rsid w:val="003B555D"/>
    <w:rsid w:val="003B78E2"/>
    <w:rsid w:val="003C503F"/>
    <w:rsid w:val="003F50D2"/>
    <w:rsid w:val="00410210"/>
    <w:rsid w:val="00446566"/>
    <w:rsid w:val="004D6C13"/>
    <w:rsid w:val="005409EF"/>
    <w:rsid w:val="00577746"/>
    <w:rsid w:val="00597BEF"/>
    <w:rsid w:val="005C0C26"/>
    <w:rsid w:val="005C1F21"/>
    <w:rsid w:val="005F11B5"/>
    <w:rsid w:val="00600F2B"/>
    <w:rsid w:val="00623737"/>
    <w:rsid w:val="006250A7"/>
    <w:rsid w:val="00626E51"/>
    <w:rsid w:val="00630524"/>
    <w:rsid w:val="0063114D"/>
    <w:rsid w:val="00674189"/>
    <w:rsid w:val="006A5937"/>
    <w:rsid w:val="006B334A"/>
    <w:rsid w:val="006B5917"/>
    <w:rsid w:val="006D7FF6"/>
    <w:rsid w:val="006E15D1"/>
    <w:rsid w:val="006F46C2"/>
    <w:rsid w:val="00726628"/>
    <w:rsid w:val="00750948"/>
    <w:rsid w:val="007512D4"/>
    <w:rsid w:val="00783B3F"/>
    <w:rsid w:val="007B08DC"/>
    <w:rsid w:val="007C0128"/>
    <w:rsid w:val="007F0134"/>
    <w:rsid w:val="0084765C"/>
    <w:rsid w:val="00855095"/>
    <w:rsid w:val="00866F3E"/>
    <w:rsid w:val="00891778"/>
    <w:rsid w:val="008B24C6"/>
    <w:rsid w:val="008C0014"/>
    <w:rsid w:val="008D298F"/>
    <w:rsid w:val="008D4DCD"/>
    <w:rsid w:val="008F4D70"/>
    <w:rsid w:val="0090656E"/>
    <w:rsid w:val="00911142"/>
    <w:rsid w:val="00920242"/>
    <w:rsid w:val="009240F4"/>
    <w:rsid w:val="009544BD"/>
    <w:rsid w:val="00970B72"/>
    <w:rsid w:val="00973281"/>
    <w:rsid w:val="009B6292"/>
    <w:rsid w:val="009E0FBE"/>
    <w:rsid w:val="00A41C07"/>
    <w:rsid w:val="00A50D5A"/>
    <w:rsid w:val="00A62080"/>
    <w:rsid w:val="00A71536"/>
    <w:rsid w:val="00A832EA"/>
    <w:rsid w:val="00A86289"/>
    <w:rsid w:val="00A97F67"/>
    <w:rsid w:val="00AA273F"/>
    <w:rsid w:val="00AB3C8F"/>
    <w:rsid w:val="00AB47CA"/>
    <w:rsid w:val="00AE5196"/>
    <w:rsid w:val="00AE6F94"/>
    <w:rsid w:val="00B007C1"/>
    <w:rsid w:val="00B05F3B"/>
    <w:rsid w:val="00B20ACF"/>
    <w:rsid w:val="00B36671"/>
    <w:rsid w:val="00B57958"/>
    <w:rsid w:val="00B66567"/>
    <w:rsid w:val="00B8508F"/>
    <w:rsid w:val="00B87FE8"/>
    <w:rsid w:val="00B97D08"/>
    <w:rsid w:val="00BC4E22"/>
    <w:rsid w:val="00BD1DAC"/>
    <w:rsid w:val="00BD31B7"/>
    <w:rsid w:val="00C06E07"/>
    <w:rsid w:val="00C17DD6"/>
    <w:rsid w:val="00C22417"/>
    <w:rsid w:val="00C475AB"/>
    <w:rsid w:val="00C611F3"/>
    <w:rsid w:val="00C66FC8"/>
    <w:rsid w:val="00C8075F"/>
    <w:rsid w:val="00C8731D"/>
    <w:rsid w:val="00C87824"/>
    <w:rsid w:val="00C9565A"/>
    <w:rsid w:val="00C97471"/>
    <w:rsid w:val="00CA1811"/>
    <w:rsid w:val="00CA394F"/>
    <w:rsid w:val="00CC7AEA"/>
    <w:rsid w:val="00CF1DA9"/>
    <w:rsid w:val="00D1056B"/>
    <w:rsid w:val="00D139E5"/>
    <w:rsid w:val="00D16D5E"/>
    <w:rsid w:val="00DE3D0B"/>
    <w:rsid w:val="00E22521"/>
    <w:rsid w:val="00E22F79"/>
    <w:rsid w:val="00E44769"/>
    <w:rsid w:val="00E63EFD"/>
    <w:rsid w:val="00E7490B"/>
    <w:rsid w:val="00E85B76"/>
    <w:rsid w:val="00EB0BB5"/>
    <w:rsid w:val="00EE74ED"/>
    <w:rsid w:val="00F051D0"/>
    <w:rsid w:val="00F30BBA"/>
    <w:rsid w:val="00F3784C"/>
    <w:rsid w:val="00F619EA"/>
    <w:rsid w:val="00F73937"/>
    <w:rsid w:val="00FB2F82"/>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paragraph" w:styleId="NormalnyWeb">
    <w:name w:val="Normal (Web)"/>
    <w:basedOn w:val="Normalny"/>
    <w:uiPriority w:val="99"/>
    <w:rsid w:val="00E7490B"/>
    <w:pPr>
      <w:suppressAutoHyphens w:val="0"/>
      <w:spacing w:before="100" w:beforeAutospacing="1" w:after="119"/>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paragraph" w:styleId="NormalnyWeb">
    <w:name w:val="Normal (Web)"/>
    <w:basedOn w:val="Normalny"/>
    <w:uiPriority w:val="99"/>
    <w:rsid w:val="00E7490B"/>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4560</Words>
  <Characters>27366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2020-05-25T10:33:00Z</cp:lastPrinted>
  <dcterms:created xsi:type="dcterms:W3CDTF">2020-06-18T20:43:00Z</dcterms:created>
  <dcterms:modified xsi:type="dcterms:W3CDTF">2020-06-18T20:49:00Z</dcterms:modified>
</cp:coreProperties>
</file>