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618" w14:textId="198DA0EB" w:rsidR="00167961" w:rsidRDefault="00167961" w:rsidP="00090ECE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3E596F15" w14:textId="6BBB2539" w:rsidR="00090ECE" w:rsidRDefault="00090ECE" w:rsidP="00090ECE">
      <w:pPr>
        <w:pStyle w:val="Teksttreci20"/>
        <w:shd w:val="clear" w:color="auto" w:fill="auto"/>
        <w:spacing w:after="0"/>
        <w:ind w:left="0"/>
        <w:jc w:val="righ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do rozporządzenia Przewodniczącego Komitetu do spraw Pożytku Publicznego </w:t>
      </w:r>
      <w:r>
        <w:rPr>
          <w:sz w:val="15"/>
          <w:szCs w:val="15"/>
          <w:lang w:bidi="pl-PL"/>
        </w:rPr>
        <w:br/>
        <w:t>z dnia 24 października 2018 r.</w:t>
      </w:r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>(Dz. U. z 2018 r. poz. 2057)</w:t>
      </w:r>
    </w:p>
    <w:p w14:paraId="6963212C" w14:textId="77777777" w:rsidR="00090ECE" w:rsidRDefault="00090ECE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B114" w14:textId="77777777" w:rsidR="00330F74" w:rsidRDefault="00330F74">
      <w:r>
        <w:separator/>
      </w:r>
    </w:p>
  </w:endnote>
  <w:endnote w:type="continuationSeparator" w:id="0">
    <w:p w14:paraId="0B39D539" w14:textId="77777777" w:rsidR="00330F74" w:rsidRDefault="0033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7CE8" w14:textId="77777777" w:rsidR="00330F74" w:rsidRDefault="00330F74">
      <w:r>
        <w:separator/>
      </w:r>
    </w:p>
  </w:footnote>
  <w:footnote w:type="continuationSeparator" w:id="0">
    <w:p w14:paraId="0E021AD2" w14:textId="77777777" w:rsidR="00330F74" w:rsidRDefault="00330F7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ECE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F74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1A89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4C5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CiackaI</cp:lastModifiedBy>
  <cp:revision>3</cp:revision>
  <cp:lastPrinted>2022-02-17T08:49:00Z</cp:lastPrinted>
  <dcterms:created xsi:type="dcterms:W3CDTF">2022-02-16T11:24:00Z</dcterms:created>
  <dcterms:modified xsi:type="dcterms:W3CDTF">2022-02-17T08:49:00Z</dcterms:modified>
</cp:coreProperties>
</file>